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958"/>
        <w:gridCol w:w="1827"/>
        <w:gridCol w:w="1592"/>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trPr>
        <w:tc>
          <w:tcPr>
            <w:tcW w:w="2115" w:type="dxa"/>
            <w:vMerge w:val="restart"/>
            <w:vAlign w:val="center"/>
          </w:tcPr>
          <w:p>
            <w:pPr>
              <w:jc w:val="center"/>
            </w:pPr>
            <w:r>
              <w:rPr>
                <w:rFonts w:hint="eastAsia" w:eastAsia="宋体"/>
                <w:lang w:eastAsia="zh-CN"/>
              </w:rPr>
              <w:drawing>
                <wp:inline distT="0" distB="0" distL="114300" distR="114300">
                  <wp:extent cx="1006475" cy="689610"/>
                  <wp:effectExtent l="0" t="0" r="3175" b="15240"/>
                  <wp:docPr id="8" name="图片 1" descr="医院院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医院院徽"/>
                          <pic:cNvPicPr>
                            <a:picLocks noChangeAspect="1"/>
                          </pic:cNvPicPr>
                        </pic:nvPicPr>
                        <pic:blipFill>
                          <a:blip r:embed="rId4"/>
                          <a:stretch>
                            <a:fillRect/>
                          </a:stretch>
                        </pic:blipFill>
                        <pic:spPr>
                          <a:xfrm>
                            <a:off x="0" y="0"/>
                            <a:ext cx="1006475" cy="689610"/>
                          </a:xfrm>
                          <a:prstGeom prst="rect">
                            <a:avLst/>
                          </a:prstGeom>
                          <a:noFill/>
                          <a:ln w="9525">
                            <a:noFill/>
                          </a:ln>
                        </pic:spPr>
                      </pic:pic>
                    </a:graphicData>
                  </a:graphic>
                </wp:inline>
              </w:drawing>
            </w:r>
          </w:p>
        </w:tc>
        <w:tc>
          <w:tcPr>
            <w:tcW w:w="1958" w:type="dxa"/>
            <w:vAlign w:val="center"/>
          </w:tcPr>
          <w:p>
            <w:pPr>
              <w:rPr>
                <w:rFonts w:ascii="仿宋" w:hAnsi="仿宋" w:eastAsia="仿宋" w:cs="Times New Roman"/>
                <w:color w:val="000000" w:themeColor="text1"/>
                <w14:textFill>
                  <w14:solidFill>
                    <w14:schemeClr w14:val="tx1"/>
                  </w14:solidFill>
                </w14:textFill>
              </w:rPr>
            </w:pPr>
            <w:r>
              <w:rPr>
                <w:rFonts w:hint="eastAsia" w:ascii="仿宋" w:hAnsi="仿宋" w:eastAsia="仿宋" w:cs="Times New Roman"/>
                <w:color w:val="000000" w:themeColor="text1"/>
                <w14:textFill>
                  <w14:solidFill>
                    <w14:schemeClr w14:val="tx1"/>
                  </w14:solidFill>
                </w14:textFill>
              </w:rPr>
              <w:t>文件名称</w:t>
            </w:r>
          </w:p>
        </w:tc>
        <w:tc>
          <w:tcPr>
            <w:tcW w:w="5816" w:type="dxa"/>
            <w:gridSpan w:val="3"/>
            <w:vAlign w:val="center"/>
          </w:tcPr>
          <w:p>
            <w:pPr>
              <w:pStyle w:val="2"/>
              <w:jc w:val="center"/>
              <w:rPr>
                <w:rFonts w:hint="eastAsia" w:eastAsia="仿宋"/>
                <w:b/>
                <w:sz w:val="24"/>
                <w:szCs w:val="24"/>
                <w:lang w:val="en-US" w:eastAsia="zh-CN"/>
              </w:rPr>
            </w:pPr>
            <w:r>
              <w:rPr>
                <w:rFonts w:hint="eastAsia"/>
                <w:b/>
                <w:sz w:val="24"/>
                <w:szCs w:val="24"/>
                <w:lang w:val="en-US" w:eastAsia="zh-CN"/>
              </w:rPr>
              <w:t>新项目新技术准入制度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trPr>
        <w:tc>
          <w:tcPr>
            <w:tcW w:w="2115" w:type="dxa"/>
            <w:vMerge w:val="continue"/>
          </w:tcPr>
          <w:p/>
        </w:tc>
        <w:tc>
          <w:tcPr>
            <w:tcW w:w="1958" w:type="dxa"/>
            <w:vAlign w:val="center"/>
          </w:tcPr>
          <w:p>
            <w:pPr>
              <w:rPr>
                <w:rFonts w:ascii="仿宋" w:hAnsi="仿宋" w:eastAsia="仿宋" w:cs="Times New Roman"/>
                <w:color w:val="000000" w:themeColor="text1"/>
                <w14:textFill>
                  <w14:solidFill>
                    <w14:schemeClr w14:val="tx1"/>
                  </w14:solidFill>
                </w14:textFill>
              </w:rPr>
            </w:pPr>
            <w:r>
              <w:rPr>
                <w:rFonts w:hint="eastAsia" w:ascii="仿宋" w:hAnsi="仿宋" w:eastAsia="仿宋" w:cs="Times New Roman"/>
                <w:color w:val="000000" w:themeColor="text1"/>
                <w14:textFill>
                  <w14:solidFill>
                    <w14:schemeClr w14:val="tx1"/>
                  </w14:solidFill>
                </w14:textFill>
              </w:rPr>
              <w:t>文件编号</w:t>
            </w:r>
          </w:p>
        </w:tc>
        <w:tc>
          <w:tcPr>
            <w:tcW w:w="5816" w:type="dxa"/>
            <w:gridSpan w:val="3"/>
            <w:vAlign w:val="center"/>
          </w:tcPr>
          <w:p>
            <w:pPr>
              <w:rPr>
                <w:rFonts w:hint="default" w:ascii="仿宋" w:hAnsi="仿宋" w:eastAsia="仿宋" w:cs="Times New Roman"/>
                <w:b/>
                <w:lang w:val="en-US" w:eastAsia="zh-CN"/>
              </w:rPr>
            </w:pPr>
            <w:bookmarkStart w:id="0" w:name="_GoBack"/>
            <w:r>
              <w:rPr>
                <w:rFonts w:hint="default" w:ascii="仿宋" w:hAnsi="仿宋" w:eastAsia="仿宋" w:cs="Times New Roman"/>
                <w:sz w:val="20"/>
                <w:szCs w:val="20"/>
                <w:lang w:val="en-US" w:eastAsia="zh-CN"/>
              </w:rPr>
              <w:t>YW-ZLAQ-</w:t>
            </w:r>
            <w:r>
              <w:rPr>
                <w:rFonts w:hint="default" w:ascii="仿宋" w:hAnsi="仿宋" w:eastAsia="仿宋" w:cs="Times New Roman"/>
                <w:sz w:val="20"/>
                <w:szCs w:val="20"/>
                <w:lang w:val="en-US" w:eastAsia="zh-CN"/>
              </w:rPr>
              <w:t>A01</w:t>
            </w:r>
            <w:r>
              <w:rPr>
                <w:rFonts w:hint="eastAsia" w:ascii="仿宋" w:hAnsi="仿宋" w:eastAsia="仿宋" w:cs="Times New Roman"/>
                <w:sz w:val="20"/>
                <w:szCs w:val="20"/>
                <w:lang w:val="en-US" w:eastAsia="zh-CN"/>
              </w:rPr>
              <w:t>2</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trPr>
        <w:tc>
          <w:tcPr>
            <w:tcW w:w="2115" w:type="dxa"/>
            <w:vMerge w:val="continue"/>
          </w:tcPr>
          <w:p/>
        </w:tc>
        <w:tc>
          <w:tcPr>
            <w:tcW w:w="1958" w:type="dxa"/>
            <w:vAlign w:val="center"/>
          </w:tcPr>
          <w:p>
            <w:pPr>
              <w:rPr>
                <w:rFonts w:ascii="仿宋" w:hAnsi="仿宋" w:eastAsia="仿宋" w:cs="Times New Roman"/>
                <w:color w:val="000000" w:themeColor="text1"/>
                <w14:textFill>
                  <w14:solidFill>
                    <w14:schemeClr w14:val="tx1"/>
                  </w14:solidFill>
                </w14:textFill>
              </w:rPr>
            </w:pPr>
            <w:r>
              <w:rPr>
                <w:rFonts w:hint="eastAsia" w:ascii="仿宋" w:hAnsi="仿宋" w:eastAsia="仿宋" w:cs="Times New Roman"/>
                <w:color w:val="000000" w:themeColor="text1"/>
                <w14:textFill>
                  <w14:solidFill>
                    <w14:schemeClr w14:val="tx1"/>
                  </w14:solidFill>
                </w14:textFill>
              </w:rPr>
              <w:t>文件类别</w:t>
            </w:r>
          </w:p>
        </w:tc>
        <w:tc>
          <w:tcPr>
            <w:tcW w:w="1827" w:type="dxa"/>
            <w:vAlign w:val="center"/>
          </w:tcPr>
          <w:p>
            <w:pPr>
              <w:rPr>
                <w:rFonts w:hint="eastAsia" w:ascii="仿宋" w:hAnsi="仿宋" w:eastAsia="仿宋" w:cs="Times New Roman"/>
                <w:lang w:val="en-US" w:eastAsia="zh-CN"/>
              </w:rPr>
            </w:pPr>
            <w:r>
              <w:rPr>
                <w:rFonts w:hint="eastAsia" w:ascii="仿宋" w:hAnsi="仿宋" w:eastAsia="仿宋" w:cs="Times New Roman"/>
                <w:lang w:val="en-US" w:eastAsia="zh-CN"/>
              </w:rPr>
              <w:t>医疗质量与安全</w:t>
            </w:r>
          </w:p>
        </w:tc>
        <w:tc>
          <w:tcPr>
            <w:tcW w:w="1592" w:type="dxa"/>
            <w:vAlign w:val="center"/>
          </w:tcPr>
          <w:p>
            <w:pPr>
              <w:rPr>
                <w:rFonts w:ascii="仿宋" w:hAnsi="仿宋" w:eastAsia="仿宋" w:cs="Times New Roman"/>
              </w:rPr>
            </w:pPr>
            <w:r>
              <w:rPr>
                <w:rFonts w:hint="eastAsia" w:ascii="仿宋" w:hAnsi="仿宋" w:eastAsia="仿宋" w:cs="Times New Roman"/>
              </w:rPr>
              <w:t>生效日期</w:t>
            </w:r>
          </w:p>
        </w:tc>
        <w:tc>
          <w:tcPr>
            <w:tcW w:w="2397" w:type="dxa"/>
            <w:vAlign w:val="center"/>
          </w:tcPr>
          <w:p>
            <w:pPr>
              <w:rPr>
                <w:rFonts w:ascii="仿宋" w:hAnsi="仿宋" w:eastAsia="仿宋" w:cs="Times New Roman"/>
                <w:color w:val="FF0000"/>
              </w:rPr>
            </w:pPr>
            <w:r>
              <w:rPr>
                <w:rFonts w:hint="eastAsia" w:ascii="仿宋" w:hAnsi="仿宋" w:eastAsia="仿宋" w:cs="Times New Roman"/>
                <w:color w:val="auto"/>
              </w:rPr>
              <w:t>2011-2-1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trPr>
        <w:tc>
          <w:tcPr>
            <w:tcW w:w="2115" w:type="dxa"/>
            <w:vMerge w:val="continue"/>
          </w:tcPr>
          <w:p/>
        </w:tc>
        <w:tc>
          <w:tcPr>
            <w:tcW w:w="1958" w:type="dxa"/>
            <w:vAlign w:val="center"/>
          </w:tcPr>
          <w:p>
            <w:pPr>
              <w:rPr>
                <w:rFonts w:ascii="仿宋" w:hAnsi="仿宋" w:eastAsia="仿宋" w:cs="Times New Roman"/>
                <w:color w:val="000000" w:themeColor="text1"/>
                <w14:textFill>
                  <w14:solidFill>
                    <w14:schemeClr w14:val="tx1"/>
                  </w14:solidFill>
                </w14:textFill>
              </w:rPr>
            </w:pPr>
            <w:r>
              <w:rPr>
                <w:rFonts w:hint="eastAsia" w:ascii="仿宋" w:hAnsi="仿宋" w:eastAsia="仿宋" w:cs="Times New Roman"/>
                <w:color w:val="000000" w:themeColor="text1"/>
                <w14:textFill>
                  <w14:solidFill>
                    <w14:schemeClr w14:val="tx1"/>
                  </w14:solidFill>
                </w14:textFill>
              </w:rPr>
              <w:t>版次</w:t>
            </w:r>
          </w:p>
        </w:tc>
        <w:tc>
          <w:tcPr>
            <w:tcW w:w="1827" w:type="dxa"/>
            <w:vAlign w:val="center"/>
          </w:tcPr>
          <w:p>
            <w:pPr>
              <w:rPr>
                <w:rFonts w:hint="default" w:ascii="仿宋" w:hAnsi="仿宋" w:eastAsia="仿宋" w:cs="Times New Roman"/>
                <w:color w:val="FF0000"/>
                <w:lang w:val="en-US" w:eastAsia="zh-CN"/>
              </w:rPr>
            </w:pPr>
            <w:r>
              <w:rPr>
                <w:rFonts w:hint="eastAsia" w:ascii="仿宋" w:hAnsi="仿宋" w:eastAsia="仿宋" w:cs="Times New Roman"/>
                <w:color w:val="auto"/>
                <w:lang w:val="en-US" w:eastAsia="zh-CN"/>
              </w:rPr>
              <w:t>3</w:t>
            </w:r>
          </w:p>
        </w:tc>
        <w:tc>
          <w:tcPr>
            <w:tcW w:w="1592" w:type="dxa"/>
            <w:vAlign w:val="center"/>
          </w:tcPr>
          <w:p>
            <w:pPr>
              <w:rPr>
                <w:rFonts w:ascii="仿宋" w:hAnsi="仿宋" w:eastAsia="仿宋" w:cs="Times New Roman"/>
              </w:rPr>
            </w:pPr>
            <w:r>
              <w:rPr>
                <w:rFonts w:hint="eastAsia" w:ascii="仿宋" w:hAnsi="仿宋" w:eastAsia="仿宋" w:cs="Times New Roman"/>
              </w:rPr>
              <w:t>最新修订日期</w:t>
            </w:r>
          </w:p>
        </w:tc>
        <w:tc>
          <w:tcPr>
            <w:tcW w:w="2397" w:type="dxa"/>
            <w:vAlign w:val="center"/>
          </w:tcPr>
          <w:p>
            <w:pPr>
              <w:rPr>
                <w:rFonts w:hint="default" w:ascii="仿宋" w:hAnsi="仿宋" w:eastAsia="仿宋" w:cs="Times New Roman"/>
                <w:lang w:val="en-US" w:eastAsia="zh-CN"/>
              </w:rPr>
            </w:pPr>
            <w:r>
              <w:rPr>
                <w:rFonts w:hint="eastAsia" w:ascii="仿宋" w:hAnsi="仿宋" w:eastAsia="仿宋" w:cs="Times New Roman"/>
                <w:lang w:val="en-US" w:eastAsia="zh-CN"/>
              </w:rPr>
              <w:t>2022-1-1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0" w:hRule="atLeast"/>
        </w:trPr>
        <w:tc>
          <w:tcPr>
            <w:tcW w:w="9889" w:type="dxa"/>
            <w:gridSpan w:val="5"/>
          </w:tcPr>
          <w:p>
            <w:pPr>
              <w:widowControl/>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 目的</w:t>
            </w:r>
          </w:p>
          <w:p>
            <w:pPr>
              <w:widowControl/>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为了</w:t>
            </w:r>
            <w:r>
              <w:rPr>
                <w:rFonts w:hint="eastAsia" w:ascii="仿宋" w:hAnsi="仿宋" w:eastAsia="仿宋" w:cs="仿宋"/>
                <w:sz w:val="24"/>
                <w:szCs w:val="24"/>
                <w:lang w:val="en-US" w:eastAsia="zh-CN"/>
              </w:rPr>
              <w:t>加强</w:t>
            </w:r>
            <w:r>
              <w:rPr>
                <w:rFonts w:hint="eastAsia" w:ascii="仿宋" w:hAnsi="仿宋" w:eastAsia="仿宋" w:cs="仿宋"/>
                <w:sz w:val="24"/>
                <w:szCs w:val="24"/>
                <w:lang w:eastAsia="zh-CN"/>
              </w:rPr>
              <w:t>医疗新技术新项目的管理，保障医疗安全，提高医疗质量。</w:t>
            </w:r>
          </w:p>
          <w:p>
            <w:pPr>
              <w:widowControl/>
              <w:spacing w:line="36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二 范围</w:t>
            </w:r>
          </w:p>
          <w:p>
            <w:pPr>
              <w:widowControl/>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全院</w:t>
            </w:r>
          </w:p>
          <w:p>
            <w:pPr>
              <w:widowControl/>
              <w:spacing w:line="36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三 定义</w:t>
            </w:r>
          </w:p>
          <w:p>
            <w:pPr>
              <w:widowControl/>
              <w:spacing w:line="360" w:lineRule="exact"/>
              <w:ind w:left="479" w:leftChars="228" w:firstLine="0" w:firstLineChars="0"/>
              <w:rPr>
                <w:rFonts w:hint="eastAsia" w:ascii="仿宋" w:hAnsi="仿宋" w:eastAsia="仿宋" w:cs="仿宋"/>
                <w:sz w:val="24"/>
                <w:szCs w:val="24"/>
                <w:lang w:eastAsia="zh-CN"/>
              </w:rPr>
            </w:pPr>
            <w:r>
              <w:rPr>
                <w:rFonts w:hint="eastAsia" w:ascii="仿宋" w:hAnsi="仿宋" w:eastAsia="仿宋" w:cs="仿宋"/>
                <w:sz w:val="24"/>
                <w:szCs w:val="24"/>
                <w:lang w:eastAsia="zh-CN"/>
              </w:rPr>
              <w:t>新技术新项目是指以解决临床诊疗问题、提高诊治水平为目标，通过原始创新、技术集成或/和成熟技术的改良、应用范围拓展等方式开展，在一定时间、地域和应用范围内，率先或早期开展、并具有一定程度技术创新特征的临床诊疗技术、程序和方法，包括开发或引进的达到国际、国内先进或填补省内、院内空白的先进技术。</w:t>
            </w:r>
          </w:p>
          <w:p>
            <w:pPr>
              <w:widowControl/>
              <w:spacing w:line="360" w:lineRule="exact"/>
              <w:rPr>
                <w:rFonts w:hint="eastAsia" w:ascii="仿宋" w:hAnsi="仿宋" w:eastAsia="仿宋" w:cs="仿宋"/>
                <w:sz w:val="24"/>
                <w:szCs w:val="24"/>
                <w:lang w:eastAsia="zh-CN"/>
              </w:rPr>
            </w:pPr>
            <w:r>
              <w:rPr>
                <w:rFonts w:hint="eastAsia" w:ascii="仿宋" w:hAnsi="仿宋" w:eastAsia="仿宋" w:cs="仿宋"/>
                <w:sz w:val="24"/>
                <w:szCs w:val="24"/>
                <w:lang w:val="en-US" w:eastAsia="zh-CN"/>
              </w:rPr>
              <w:t>四 权责</w:t>
            </w:r>
          </w:p>
          <w:p>
            <w:pPr>
              <w:widowControl/>
              <w:spacing w:line="360" w:lineRule="exact"/>
              <w:ind w:left="719" w:leftChars="228" w:hanging="240" w:hangingChars="100"/>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临床</w:t>
            </w:r>
            <w:r>
              <w:rPr>
                <w:rFonts w:hint="eastAsia" w:ascii="仿宋" w:hAnsi="仿宋" w:eastAsia="仿宋" w:cs="仿宋"/>
                <w:sz w:val="24"/>
                <w:szCs w:val="24"/>
                <w:lang w:val="en-US" w:eastAsia="zh-CN"/>
              </w:rPr>
              <w:t>科室</w:t>
            </w:r>
            <w:r>
              <w:rPr>
                <w:rFonts w:hint="eastAsia" w:ascii="仿宋" w:hAnsi="仿宋" w:eastAsia="仿宋" w:cs="仿宋"/>
                <w:sz w:val="24"/>
                <w:szCs w:val="24"/>
                <w:lang w:eastAsia="zh-CN"/>
              </w:rPr>
              <w:t>主任：负责审核监管科室申报的新技术新项目及其负责人资质，并按要求开展实施；</w:t>
            </w:r>
          </w:p>
          <w:p>
            <w:pPr>
              <w:widowControl/>
              <w:spacing w:line="360" w:lineRule="exact"/>
              <w:ind w:left="719" w:leftChars="228" w:hanging="240" w:hangingChars="100"/>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 xml:space="preserve"> 医务科</w:t>
            </w:r>
            <w:r>
              <w:rPr>
                <w:rFonts w:hint="eastAsia" w:ascii="仿宋" w:hAnsi="仿宋" w:eastAsia="仿宋" w:cs="仿宋"/>
                <w:sz w:val="24"/>
                <w:szCs w:val="24"/>
                <w:lang w:eastAsia="zh-CN"/>
              </w:rPr>
              <w:t>：负责新技术新项目资料审核，组织新技术新项目的论证，负责新技术新项目监管，评价等工作；</w:t>
            </w:r>
          </w:p>
          <w:p>
            <w:pPr>
              <w:widowControl/>
              <w:spacing w:line="360" w:lineRule="exact"/>
              <w:ind w:left="719" w:leftChars="228" w:hanging="240" w:hangingChars="100"/>
              <w:rPr>
                <w:rFonts w:hint="eastAsia" w:ascii="仿宋" w:hAnsi="仿宋" w:eastAsia="仿宋" w:cs="仿宋"/>
                <w:sz w:val="24"/>
                <w:szCs w:val="24"/>
                <w:lang w:eastAsia="zh-CN"/>
              </w:rPr>
            </w:pPr>
            <w:r>
              <w:rPr>
                <w:rFonts w:hint="eastAsia" w:ascii="仿宋" w:hAnsi="仿宋" w:eastAsia="仿宋" w:cs="仿宋"/>
                <w:sz w:val="24"/>
                <w:szCs w:val="24"/>
                <w:lang w:eastAsia="zh-CN"/>
              </w:rPr>
              <w:t>3</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医疗技术临床应用管理委员会：负责新技术新项目临床应用、新技术新项目转常规技术的审批；</w:t>
            </w:r>
          </w:p>
          <w:p>
            <w:pPr>
              <w:widowControl/>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4</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医疗技术伦理委员会：负责医疗新技术新项目的伦理审核。</w:t>
            </w:r>
          </w:p>
          <w:p>
            <w:pPr>
              <w:widowControl/>
              <w:spacing w:line="36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五</w:t>
            </w:r>
            <w:r>
              <w:rPr>
                <w:rFonts w:hint="eastAsia" w:ascii="仿宋" w:hAnsi="仿宋" w:eastAsia="仿宋" w:cs="仿宋"/>
                <w:sz w:val="24"/>
                <w:szCs w:val="24"/>
                <w:lang w:val="en-US" w:eastAsia="zh-CN"/>
              </w:rPr>
              <w:t xml:space="preserve"> 作业</w:t>
            </w:r>
            <w:r>
              <w:rPr>
                <w:rFonts w:hint="eastAsia" w:ascii="仿宋" w:hAnsi="仿宋" w:eastAsia="仿宋" w:cs="仿宋"/>
                <w:sz w:val="24"/>
                <w:szCs w:val="24"/>
                <w:lang w:eastAsia="zh-CN"/>
              </w:rPr>
              <w:t>内容</w:t>
            </w:r>
          </w:p>
          <w:p>
            <w:pPr>
              <w:widowControl/>
              <w:spacing w:line="360" w:lineRule="exact"/>
              <w:ind w:left="719" w:leftChars="228" w:hanging="240" w:hangingChars="100"/>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医院</w:t>
            </w:r>
            <w:r>
              <w:rPr>
                <w:rFonts w:hint="eastAsia" w:ascii="仿宋" w:hAnsi="仿宋" w:eastAsia="仿宋" w:cs="仿宋"/>
                <w:sz w:val="24"/>
                <w:szCs w:val="24"/>
                <w:lang w:val="en-US" w:eastAsia="zh-CN"/>
              </w:rPr>
              <w:t>鼓励</w:t>
            </w:r>
            <w:r>
              <w:rPr>
                <w:rFonts w:hint="eastAsia" w:ascii="仿宋" w:hAnsi="仿宋" w:eastAsia="仿宋" w:cs="仿宋"/>
                <w:sz w:val="24"/>
                <w:szCs w:val="24"/>
                <w:lang w:eastAsia="zh-CN"/>
              </w:rPr>
              <w:t>各科开展新技术新项目，临床科室应当遵循科学、安全、规范、有效、经济、符合伦理的原则实施各项新技术新项目。</w:t>
            </w:r>
          </w:p>
          <w:p>
            <w:pPr>
              <w:widowControl/>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2</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新</w:t>
            </w:r>
            <w:r>
              <w:rPr>
                <w:rFonts w:hint="eastAsia" w:ascii="仿宋" w:hAnsi="仿宋" w:eastAsia="仿宋" w:cs="仿宋"/>
                <w:sz w:val="24"/>
                <w:szCs w:val="24"/>
                <w:lang w:val="en-US" w:eastAsia="zh-CN"/>
              </w:rPr>
              <w:t>技术</w:t>
            </w:r>
            <w:r>
              <w:rPr>
                <w:rFonts w:hint="eastAsia" w:ascii="仿宋" w:hAnsi="仿宋" w:eastAsia="仿宋" w:cs="仿宋"/>
                <w:sz w:val="24"/>
                <w:szCs w:val="24"/>
                <w:lang w:eastAsia="zh-CN"/>
              </w:rPr>
              <w:t>新项目的审批</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2.1 申报开展新技术新项目的医务人员应有相应的执业资质，具备组织或参与项目创新的经验，包括接受过该技术专业培训，或项目关键技术或相似技术的应用经验。原则上申报新技术新项目的负责人应为高年资副主任医师及以上。</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2.2 申报新技术新项目科室应对其专业性、技术科学性、稳定性、临床有效性，以及项目负责人的业务水平及技术能力进行把关。</w:t>
            </w:r>
          </w:p>
          <w:p>
            <w:pPr>
              <w:widowControl/>
              <w:spacing w:line="360" w:lineRule="exact"/>
              <w:ind w:firstLine="720" w:firstLineChars="300"/>
              <w:rPr>
                <w:rFonts w:hint="eastAsia" w:ascii="仿宋" w:hAnsi="仿宋" w:eastAsia="仿宋" w:cs="仿宋"/>
                <w:sz w:val="24"/>
                <w:szCs w:val="24"/>
                <w:lang w:eastAsia="zh-CN"/>
              </w:rPr>
            </w:pPr>
            <w:r>
              <w:rPr>
                <w:rFonts w:hint="eastAsia" w:ascii="仿宋" w:hAnsi="仿宋" w:eastAsia="仿宋" w:cs="仿宋"/>
                <w:sz w:val="24"/>
                <w:szCs w:val="24"/>
                <w:lang w:eastAsia="zh-CN"/>
              </w:rPr>
              <w:t>2.3 科室申报新技术新项目需申报的材料包括：</w:t>
            </w:r>
          </w:p>
          <w:p>
            <w:pPr>
              <w:widowControl/>
              <w:spacing w:line="360" w:lineRule="exact"/>
              <w:ind w:left="1917" w:leftChars="570" w:hanging="720" w:hangingChars="300"/>
              <w:rPr>
                <w:rFonts w:hint="eastAsia" w:ascii="仿宋" w:hAnsi="仿宋" w:eastAsia="仿宋" w:cs="仿宋"/>
                <w:sz w:val="24"/>
                <w:szCs w:val="24"/>
                <w:lang w:eastAsia="zh-CN"/>
              </w:rPr>
            </w:pPr>
            <w:r>
              <w:rPr>
                <w:rFonts w:hint="eastAsia" w:ascii="仿宋" w:hAnsi="仿宋" w:eastAsia="仿宋" w:cs="仿宋"/>
                <w:sz w:val="24"/>
                <w:szCs w:val="24"/>
                <w:lang w:eastAsia="zh-CN"/>
              </w:rPr>
              <w:t>2.3.1 新技术新项目申请报告（内容包括国内外应用情况、适应证、禁忌证、不良反应、技术路线、质量控制措施、疗效判定标准、评估方法，与同类医疗技术的风险、疗效、费用及疗程比较分析，具备的人员、设备条件等）</w:t>
            </w:r>
          </w:p>
          <w:p>
            <w:pPr>
              <w:widowControl/>
              <w:spacing w:line="360" w:lineRule="exact"/>
              <w:ind w:firstLine="1200" w:firstLineChars="500"/>
              <w:rPr>
                <w:rFonts w:hint="eastAsia" w:ascii="仿宋" w:hAnsi="仿宋" w:eastAsia="仿宋" w:cs="仿宋"/>
                <w:sz w:val="24"/>
                <w:szCs w:val="24"/>
                <w:lang w:eastAsia="zh-CN"/>
              </w:rPr>
            </w:pPr>
            <w:r>
              <w:rPr>
                <w:rFonts w:hint="eastAsia" w:ascii="仿宋" w:hAnsi="仿宋" w:eastAsia="仿宋" w:cs="仿宋"/>
                <w:sz w:val="24"/>
                <w:szCs w:val="24"/>
                <w:lang w:eastAsia="zh-CN"/>
              </w:rPr>
              <w:t>2.3.2 知情同意书范本</w:t>
            </w:r>
          </w:p>
          <w:p>
            <w:pPr>
              <w:widowControl/>
              <w:spacing w:line="360" w:lineRule="exact"/>
              <w:ind w:firstLine="1200" w:firstLineChars="500"/>
              <w:rPr>
                <w:rFonts w:hint="eastAsia" w:ascii="仿宋" w:hAnsi="仿宋" w:eastAsia="仿宋" w:cs="仿宋"/>
                <w:sz w:val="24"/>
                <w:szCs w:val="24"/>
                <w:lang w:eastAsia="zh-CN"/>
              </w:rPr>
            </w:pPr>
            <w:r>
              <w:rPr>
                <w:rFonts w:hint="eastAsia" w:ascii="仿宋" w:hAnsi="仿宋" w:eastAsia="仿宋" w:cs="仿宋"/>
                <w:sz w:val="24"/>
                <w:szCs w:val="24"/>
                <w:lang w:eastAsia="zh-CN"/>
              </w:rPr>
              <w:t>2.3.3 质量安全保障措施及应急处理预案</w:t>
            </w:r>
          </w:p>
          <w:p>
            <w:pPr>
              <w:widowControl/>
              <w:spacing w:line="360" w:lineRule="exact"/>
              <w:ind w:firstLine="1200" w:firstLineChars="500"/>
              <w:rPr>
                <w:rFonts w:hint="eastAsia" w:ascii="仿宋" w:hAnsi="仿宋" w:eastAsia="仿宋" w:cs="仿宋"/>
                <w:sz w:val="24"/>
                <w:szCs w:val="24"/>
                <w:lang w:eastAsia="zh-CN"/>
              </w:rPr>
            </w:pPr>
            <w:r>
              <w:rPr>
                <w:rFonts w:hint="eastAsia" w:ascii="仿宋" w:hAnsi="仿宋" w:eastAsia="仿宋" w:cs="仿宋"/>
                <w:sz w:val="24"/>
                <w:szCs w:val="24"/>
                <w:lang w:eastAsia="zh-CN"/>
              </w:rPr>
              <w:t>2.3.4 项目负责人岗位职责</w:t>
            </w:r>
          </w:p>
          <w:p>
            <w:pPr>
              <w:widowControl/>
              <w:spacing w:line="360" w:lineRule="exact"/>
              <w:ind w:firstLine="1200" w:firstLineChars="500"/>
              <w:rPr>
                <w:rFonts w:hint="eastAsia" w:ascii="仿宋" w:hAnsi="仿宋" w:eastAsia="仿宋" w:cs="仿宋"/>
                <w:sz w:val="24"/>
                <w:szCs w:val="24"/>
                <w:lang w:eastAsia="zh-CN"/>
              </w:rPr>
            </w:pPr>
            <w:r>
              <w:rPr>
                <w:rFonts w:hint="eastAsia" w:ascii="仿宋" w:hAnsi="仿宋" w:eastAsia="仿宋" w:cs="仿宋"/>
                <w:sz w:val="24"/>
                <w:szCs w:val="24"/>
                <w:lang w:eastAsia="zh-CN"/>
              </w:rPr>
              <w:t>2.3.5 伦理审查申请书</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2.4 医务科收到科室递交的新技术新项目审批材料后，应从开展该技术项目的人才、技术、设备及项目负责人准入资格等方面进行形式审核。</w:t>
            </w:r>
          </w:p>
          <w:p>
            <w:pPr>
              <w:widowControl/>
              <w:spacing w:line="360" w:lineRule="exact"/>
              <w:ind w:firstLine="720" w:firstLineChars="300"/>
              <w:rPr>
                <w:rFonts w:hint="eastAsia" w:ascii="仿宋" w:hAnsi="仿宋" w:eastAsia="仿宋" w:cs="仿宋"/>
                <w:sz w:val="24"/>
                <w:szCs w:val="24"/>
                <w:lang w:val="en-US" w:eastAsia="zh-CN"/>
              </w:rPr>
            </w:pPr>
            <w:r>
              <w:rPr>
                <w:rFonts w:hint="eastAsia" w:ascii="仿宋" w:hAnsi="仿宋" w:eastAsia="仿宋" w:cs="仿宋"/>
                <w:sz w:val="24"/>
                <w:szCs w:val="24"/>
                <w:lang w:eastAsia="zh-CN"/>
              </w:rPr>
              <w:t>2.5 新技术新项目通过审核后，医务科将新技术新项目递交医疗技术伦理委员会进行</w:t>
            </w:r>
            <w:r>
              <w:rPr>
                <w:rFonts w:hint="eastAsia" w:ascii="仿宋" w:hAnsi="仿宋" w:eastAsia="仿宋" w:cs="仿宋"/>
                <w:sz w:val="24"/>
                <w:szCs w:val="24"/>
                <w:lang w:val="en-US" w:eastAsia="zh-CN"/>
              </w:rPr>
              <w:t xml:space="preserve"> </w:t>
            </w:r>
          </w:p>
          <w:p>
            <w:pPr>
              <w:widowControl/>
              <w:spacing w:line="360" w:lineRule="exact"/>
              <w:ind w:firstLine="1200" w:firstLineChars="500"/>
              <w:rPr>
                <w:rFonts w:hint="eastAsia" w:ascii="仿宋" w:hAnsi="仿宋" w:eastAsia="仿宋" w:cs="仿宋"/>
                <w:sz w:val="24"/>
                <w:szCs w:val="24"/>
                <w:lang w:eastAsia="zh-CN"/>
              </w:rPr>
            </w:pPr>
            <w:r>
              <w:rPr>
                <w:rFonts w:hint="eastAsia" w:ascii="仿宋" w:hAnsi="仿宋" w:eastAsia="仿宋" w:cs="仿宋"/>
                <w:sz w:val="24"/>
                <w:szCs w:val="24"/>
                <w:lang w:eastAsia="zh-CN"/>
              </w:rPr>
              <w:t>伦理审批。</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2.6 医务科将新技术新项目论证意见及伦理审核意见递交医院医疗技术临床应用管理委员会审议，审核通过后方能在院内开展。</w:t>
            </w:r>
          </w:p>
          <w:p>
            <w:pPr>
              <w:widowControl/>
              <w:spacing w:line="360" w:lineRule="exact"/>
              <w:ind w:firstLine="720" w:firstLineChars="300"/>
              <w:rPr>
                <w:rFonts w:hint="eastAsia" w:ascii="仿宋" w:hAnsi="仿宋" w:eastAsia="仿宋" w:cs="仿宋"/>
                <w:sz w:val="24"/>
                <w:szCs w:val="24"/>
                <w:lang w:eastAsia="zh-CN"/>
              </w:rPr>
            </w:pPr>
            <w:r>
              <w:rPr>
                <w:rFonts w:hint="eastAsia" w:ascii="仿宋" w:hAnsi="仿宋" w:eastAsia="仿宋" w:cs="仿宋"/>
                <w:sz w:val="24"/>
                <w:szCs w:val="24"/>
                <w:lang w:eastAsia="zh-CN"/>
              </w:rPr>
              <w:t>2.7 医务科对医疗新技术新项目临床应用情况进行监管，建立技术档案。</w:t>
            </w:r>
          </w:p>
          <w:p>
            <w:pPr>
              <w:widowControl/>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3 新技术新项目的实施、全程监管及评价</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3.1 新技术新项目经医院批准后实行跟踪评价制度，项目负责人应根据伦理持续审查意见定期书写阶段小结，内容包括诊疗病例数、应用效果、并发症、不良反应等。</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3.2 阶段小结由医务科递交医院医疗技术临床应用管理委员会进行评估，对已开展达 30 例的新技术新项目项目负责人应递交项目总结报告，由医院医疗技术临床应用管理委员会评价是否同意新技术新项目转为常规技术在院内临床推广应用。</w:t>
            </w:r>
          </w:p>
          <w:p>
            <w:pPr>
              <w:widowControl/>
              <w:spacing w:line="360" w:lineRule="exact"/>
              <w:ind w:left="719" w:leftChars="228" w:hanging="240" w:hangingChars="100"/>
              <w:rPr>
                <w:rFonts w:hint="eastAsia" w:ascii="仿宋" w:hAnsi="仿宋" w:eastAsia="仿宋" w:cs="仿宋"/>
                <w:sz w:val="24"/>
                <w:szCs w:val="24"/>
                <w:lang w:eastAsia="zh-CN"/>
              </w:rPr>
            </w:pPr>
            <w:r>
              <w:rPr>
                <w:rFonts w:hint="eastAsia" w:ascii="仿宋" w:hAnsi="仿宋" w:eastAsia="仿宋" w:cs="仿宋"/>
                <w:sz w:val="24"/>
                <w:szCs w:val="24"/>
                <w:lang w:eastAsia="zh-CN"/>
              </w:rPr>
              <w:t>4 新技术新项目临床应用期间，发生下列情形之一的，应当立即暂停临床应用，并将情况上报</w:t>
            </w:r>
            <w:r>
              <w:rPr>
                <w:rFonts w:hint="eastAsia" w:ascii="仿宋" w:hAnsi="仿宋" w:eastAsia="仿宋" w:cs="仿宋"/>
                <w:sz w:val="24"/>
                <w:szCs w:val="24"/>
                <w:lang w:val="en-US" w:eastAsia="zh-CN"/>
              </w:rPr>
              <w:t>医务科</w:t>
            </w:r>
            <w:r>
              <w:rPr>
                <w:rFonts w:hint="eastAsia" w:ascii="仿宋" w:hAnsi="仿宋" w:eastAsia="仿宋" w:cs="仿宋"/>
                <w:sz w:val="24"/>
                <w:szCs w:val="24"/>
                <w:lang w:eastAsia="zh-CN"/>
              </w:rPr>
              <w:t>或相关行政部门：</w:t>
            </w:r>
          </w:p>
          <w:p>
            <w:pPr>
              <w:widowControl/>
              <w:spacing w:line="360" w:lineRule="exact"/>
              <w:ind w:firstLine="720" w:firstLineChars="300"/>
              <w:rPr>
                <w:rFonts w:hint="eastAsia" w:ascii="仿宋" w:hAnsi="仿宋" w:eastAsia="仿宋" w:cs="仿宋"/>
                <w:sz w:val="24"/>
                <w:szCs w:val="24"/>
                <w:lang w:eastAsia="zh-CN"/>
              </w:rPr>
            </w:pPr>
            <w:r>
              <w:rPr>
                <w:rFonts w:hint="eastAsia" w:ascii="仿宋" w:hAnsi="仿宋" w:eastAsia="仿宋" w:cs="仿宋"/>
                <w:sz w:val="24"/>
                <w:szCs w:val="24"/>
                <w:lang w:eastAsia="zh-CN"/>
              </w:rPr>
              <w:t>4.1 医疗技术被卫生部废除或禁止使用的。</w:t>
            </w:r>
          </w:p>
          <w:p>
            <w:pPr>
              <w:widowControl/>
              <w:spacing w:line="360" w:lineRule="exact"/>
              <w:ind w:firstLine="720" w:firstLineChars="300"/>
              <w:rPr>
                <w:rFonts w:hint="eastAsia" w:ascii="仿宋" w:hAnsi="仿宋" w:eastAsia="仿宋" w:cs="仿宋"/>
                <w:sz w:val="24"/>
                <w:szCs w:val="24"/>
                <w:lang w:eastAsia="zh-CN"/>
              </w:rPr>
            </w:pPr>
            <w:r>
              <w:rPr>
                <w:rFonts w:hint="eastAsia" w:ascii="仿宋" w:hAnsi="仿宋" w:eastAsia="仿宋" w:cs="仿宋"/>
                <w:sz w:val="24"/>
                <w:szCs w:val="24"/>
                <w:lang w:eastAsia="zh-CN"/>
              </w:rPr>
              <w:t>4.2 发生与该项技术直接相关的严重不良后果的。</w:t>
            </w:r>
          </w:p>
          <w:p>
            <w:pPr>
              <w:widowControl/>
              <w:spacing w:line="360" w:lineRule="exact"/>
              <w:ind w:firstLine="720" w:firstLineChars="300"/>
              <w:rPr>
                <w:rFonts w:hint="eastAsia" w:ascii="仿宋" w:hAnsi="仿宋" w:eastAsia="仿宋" w:cs="仿宋"/>
                <w:sz w:val="24"/>
                <w:szCs w:val="24"/>
                <w:lang w:eastAsia="zh-CN"/>
              </w:rPr>
            </w:pPr>
            <w:r>
              <w:rPr>
                <w:rFonts w:hint="eastAsia" w:ascii="仿宋" w:hAnsi="仿宋" w:eastAsia="仿宋" w:cs="仿宋"/>
                <w:sz w:val="24"/>
                <w:szCs w:val="24"/>
                <w:lang w:eastAsia="zh-CN"/>
              </w:rPr>
              <w:t>4.3 发现该项技术存在医疗质量和安全隐患的。</w:t>
            </w:r>
          </w:p>
          <w:p>
            <w:pPr>
              <w:widowControl/>
              <w:spacing w:line="360" w:lineRule="exact"/>
              <w:ind w:firstLine="720" w:firstLineChars="300"/>
              <w:rPr>
                <w:rFonts w:hint="eastAsia" w:ascii="仿宋" w:hAnsi="仿宋" w:eastAsia="仿宋" w:cs="仿宋"/>
                <w:sz w:val="24"/>
                <w:szCs w:val="24"/>
                <w:lang w:eastAsia="zh-CN"/>
              </w:rPr>
            </w:pPr>
            <w:r>
              <w:rPr>
                <w:rFonts w:hint="eastAsia" w:ascii="仿宋" w:hAnsi="仿宋" w:eastAsia="仿宋" w:cs="仿宋"/>
                <w:sz w:val="24"/>
                <w:szCs w:val="24"/>
                <w:lang w:eastAsia="zh-CN"/>
              </w:rPr>
              <w:t>4.4 发现该项技术存在伦理道德缺陷的。</w:t>
            </w:r>
          </w:p>
          <w:p>
            <w:pPr>
              <w:widowControl/>
              <w:spacing w:line="360" w:lineRule="exact"/>
              <w:ind w:firstLine="720" w:firstLineChars="300"/>
              <w:rPr>
                <w:rFonts w:hint="eastAsia" w:ascii="仿宋" w:hAnsi="仿宋" w:eastAsia="仿宋" w:cs="仿宋"/>
                <w:sz w:val="24"/>
                <w:szCs w:val="24"/>
                <w:lang w:eastAsia="zh-CN"/>
              </w:rPr>
            </w:pPr>
            <w:r>
              <w:rPr>
                <w:rFonts w:hint="eastAsia" w:ascii="仿宋" w:hAnsi="仿宋" w:eastAsia="仿宋" w:cs="仿宋"/>
                <w:sz w:val="24"/>
                <w:szCs w:val="24"/>
                <w:lang w:eastAsia="zh-CN"/>
              </w:rPr>
              <w:t>4.5 技术支撑条件发生变化或者消失的。</w:t>
            </w:r>
          </w:p>
          <w:p>
            <w:pPr>
              <w:widowControl/>
              <w:spacing w:line="360" w:lineRule="exact"/>
              <w:ind w:firstLine="720" w:firstLineChars="300"/>
              <w:rPr>
                <w:rFonts w:hint="eastAsia" w:ascii="仿宋" w:hAnsi="仿宋" w:eastAsia="仿宋" w:cs="仿宋"/>
                <w:sz w:val="24"/>
                <w:szCs w:val="24"/>
                <w:lang w:eastAsia="zh-CN"/>
              </w:rPr>
            </w:pPr>
            <w:r>
              <w:rPr>
                <w:rFonts w:hint="eastAsia" w:ascii="仿宋" w:hAnsi="仿宋" w:eastAsia="仿宋" w:cs="仿宋"/>
                <w:sz w:val="24"/>
                <w:szCs w:val="24"/>
                <w:lang w:eastAsia="zh-CN"/>
              </w:rPr>
              <w:t>4.6 卫生行政部门规定的其他情形。</w:t>
            </w:r>
          </w:p>
          <w:p>
            <w:pPr>
              <w:widowControl/>
              <w:spacing w:line="360" w:lineRule="exact"/>
              <w:ind w:left="719" w:leftChars="228" w:hanging="240" w:hangingChars="100"/>
              <w:rPr>
                <w:rFonts w:hint="eastAsia" w:ascii="仿宋" w:hAnsi="仿宋" w:eastAsia="仿宋" w:cs="仿宋"/>
                <w:sz w:val="24"/>
                <w:szCs w:val="24"/>
                <w:lang w:eastAsia="zh-CN"/>
              </w:rPr>
            </w:pPr>
            <w:r>
              <w:rPr>
                <w:rFonts w:hint="eastAsia" w:ascii="仿宋" w:hAnsi="仿宋" w:eastAsia="仿宋" w:cs="仿宋"/>
                <w:sz w:val="24"/>
                <w:szCs w:val="24"/>
                <w:lang w:eastAsia="zh-CN"/>
              </w:rPr>
              <w:t>5 新技术新项目风险预警及技术损害处置：新技术新项目开展期间应严格执行《医疗技术风险预警管理制度》，如发生医疗技术损害应按《医疗技术损害处置预案》妥善处理。</w:t>
            </w:r>
          </w:p>
          <w:p>
            <w:pPr>
              <w:widowControl/>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6 新</w:t>
            </w:r>
            <w:r>
              <w:rPr>
                <w:rFonts w:hint="eastAsia" w:ascii="仿宋" w:hAnsi="仿宋" w:eastAsia="仿宋" w:cs="仿宋"/>
                <w:sz w:val="24"/>
                <w:szCs w:val="24"/>
                <w:lang w:val="en-US" w:eastAsia="zh-CN"/>
              </w:rPr>
              <w:t>技术</w:t>
            </w:r>
            <w:r>
              <w:rPr>
                <w:rFonts w:hint="eastAsia" w:ascii="仿宋" w:hAnsi="仿宋" w:eastAsia="仿宋" w:cs="仿宋"/>
                <w:sz w:val="24"/>
                <w:szCs w:val="24"/>
                <w:lang w:eastAsia="zh-CN"/>
              </w:rPr>
              <w:t>新项目奖惩：</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6.1 新技术新项目开展情况纳入个人及科室的年度考核，所有审批通过的新技术新项目，在严格执行诊疗操作常规的前提下，医院承担相应的风险，由此产生的不良后果，不影响有关个人或科室的绩效分配、综合目标考核。</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6.2 开展新技术新项目如需经费支持，项目申报人应提供详细的经费预算，医院将根据技术论证予以相应的经费支持。所有因开展新技术新项目所需添置或更新的仪器设备，其仪器成本在2 年内不计成本折旧率。</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6.3 获准在本院开展的新技术新项目未转为常规技术前，相关的科室和人员不得将该项新技术新项目在其他医疗机构应用，经过相关部门批准或者紧急救援、急诊抢救的情形除外。卫生行政部门有相关规定的，应按相应规定执行。</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6.4 违反本制度规定，未经批准而擅自开展新技术新项目项目的科室和医师，承担相应法律责任。</w:t>
            </w:r>
          </w:p>
          <w:p>
            <w:pPr>
              <w:widowControl/>
              <w:spacing w:line="360" w:lineRule="exact"/>
              <w:ind w:left="1198" w:leftChars="342" w:hanging="480" w:hangingChars="200"/>
              <w:rPr>
                <w:rFonts w:hint="eastAsia" w:ascii="仿宋" w:hAnsi="仿宋" w:eastAsia="仿宋" w:cs="仿宋"/>
                <w:sz w:val="24"/>
                <w:szCs w:val="24"/>
                <w:lang w:eastAsia="zh-CN"/>
              </w:rPr>
            </w:pPr>
            <w:r>
              <w:rPr>
                <w:rFonts w:hint="eastAsia" w:ascii="仿宋" w:hAnsi="仿宋" w:eastAsia="仿宋" w:cs="仿宋"/>
                <w:sz w:val="24"/>
                <w:szCs w:val="24"/>
                <w:lang w:eastAsia="zh-CN"/>
              </w:rPr>
              <w:t>6.5 为鼓励新技术新项目的开展，医院每年开展一次新技术新项目评优，具体方案另行制定。</w:t>
            </w:r>
          </w:p>
          <w:p>
            <w:pPr>
              <w:widowControl/>
              <w:spacing w:line="36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六</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注意事项</w:t>
            </w:r>
          </w:p>
          <w:p>
            <w:pPr>
              <w:widowControl/>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p>
            <w:pPr>
              <w:widowControl/>
              <w:spacing w:line="36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七</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相关文件</w:t>
            </w:r>
          </w:p>
          <w:p>
            <w:pPr>
              <w:widowControl/>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p>
            <w:pPr>
              <w:widowControl/>
              <w:spacing w:line="36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八</w:t>
            </w:r>
            <w:r>
              <w:rPr>
                <w:rFonts w:hint="eastAsia" w:ascii="仿宋" w:hAnsi="仿宋" w:eastAsia="仿宋" w:cs="仿宋"/>
                <w:sz w:val="24"/>
                <w:szCs w:val="24"/>
                <w:lang w:val="en-US" w:eastAsia="zh-CN"/>
              </w:rPr>
              <w:t xml:space="preserve"> 使用表</w:t>
            </w:r>
            <w:r>
              <w:rPr>
                <w:rFonts w:hint="eastAsia" w:ascii="仿宋" w:hAnsi="仿宋" w:eastAsia="仿宋" w:cs="仿宋"/>
                <w:sz w:val="24"/>
                <w:szCs w:val="24"/>
                <w:lang w:eastAsia="zh-CN"/>
              </w:rPr>
              <w:t>单</w:t>
            </w:r>
          </w:p>
          <w:p>
            <w:pPr>
              <w:widowControl/>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无</w:t>
            </w:r>
          </w:p>
          <w:p>
            <w:pPr>
              <w:widowControl/>
              <w:spacing w:line="36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九</w:t>
            </w:r>
            <w:r>
              <w:rPr>
                <w:rFonts w:hint="eastAsia" w:ascii="仿宋" w:hAnsi="仿宋" w:eastAsia="仿宋" w:cs="仿宋"/>
                <w:sz w:val="24"/>
                <w:szCs w:val="24"/>
                <w:lang w:val="en-US" w:eastAsia="zh-CN"/>
              </w:rPr>
              <w:t xml:space="preserve"> 使用</w:t>
            </w:r>
            <w:r>
              <w:rPr>
                <w:rFonts w:hint="eastAsia" w:ascii="仿宋" w:hAnsi="仿宋" w:eastAsia="仿宋" w:cs="仿宋"/>
                <w:sz w:val="24"/>
                <w:szCs w:val="24"/>
                <w:lang w:eastAsia="zh-CN"/>
              </w:rPr>
              <w:t>单位</w:t>
            </w:r>
          </w:p>
          <w:p>
            <w:pPr>
              <w:widowControl/>
              <w:spacing w:line="3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绍兴市上虞第二人民医院</w:t>
            </w:r>
          </w:p>
          <w:p>
            <w:pPr>
              <w:numPr>
                <w:ilvl w:val="0"/>
                <w:numId w:val="0"/>
              </w:numPr>
              <w:ind w:left="718" w:leftChars="342" w:firstLine="0" w:firstLineChars="0"/>
              <w:jc w:val="both"/>
              <w:rPr>
                <w:rFonts w:hint="eastAsia" w:ascii="仿宋" w:hAnsi="仿宋" w:eastAsia="仿宋" w:cs="仿宋"/>
                <w:b/>
                <w:bCs/>
                <w:sz w:val="24"/>
                <w:szCs w:val="24"/>
              </w:rPr>
            </w:pPr>
          </w:p>
          <w:p>
            <w:pPr>
              <w:numPr>
                <w:ilvl w:val="0"/>
                <w:numId w:val="0"/>
              </w:numPr>
              <w:ind w:left="718" w:leftChars="342" w:firstLine="0" w:firstLineChars="0"/>
              <w:jc w:val="both"/>
              <w:rPr>
                <w:rFonts w:hint="eastAsia" w:ascii="仿宋" w:hAnsi="仿宋" w:eastAsia="仿宋" w:cs="仿宋"/>
                <w:b/>
                <w:bCs/>
                <w:sz w:val="24"/>
                <w:szCs w:val="24"/>
              </w:rPr>
            </w:pPr>
          </w:p>
          <w:p>
            <w:pPr>
              <w:rPr>
                <w:rFonts w:ascii="仿宋" w:hAnsi="仿宋" w:eastAsia="仿宋"/>
                <w:b/>
                <w:sz w:val="24"/>
              </w:rPr>
            </w:pPr>
            <w:r>
              <w:rPr>
                <w:rFonts w:hint="eastAsia" w:ascii="仿宋" w:hAnsi="仿宋" w:eastAsia="仿宋"/>
                <w:b/>
                <w:sz w:val="24"/>
              </w:rPr>
              <w:t>获经批准</w:t>
            </w:r>
          </w:p>
          <w:p>
            <w:pPr>
              <w:spacing w:line="276" w:lineRule="auto"/>
              <w:rPr>
                <w:rFonts w:hint="eastAsia" w:ascii="仿宋" w:hAnsi="仿宋" w:eastAsia="仿宋" w:cs="Times New Roman"/>
                <w:sz w:val="24"/>
                <w:szCs w:val="24"/>
              </w:rPr>
            </w:pPr>
          </w:p>
          <w:p>
            <w:pPr>
              <w:jc w:val="both"/>
              <w:rPr>
                <w:rFonts w:hint="default"/>
                <w:lang w:val="en-US" w:eastAsia="zh-CN"/>
              </w:rPr>
            </w:pPr>
            <w:r>
              <w:rPr>
                <w:rFonts w:hint="eastAsia" w:ascii="仿宋" w:hAnsi="仿宋" w:eastAsia="仿宋"/>
                <w:b/>
                <w:sz w:val="24"/>
              </w:rPr>
              <w:t>院长</w:t>
            </w:r>
            <w:r>
              <w:rPr>
                <w:rFonts w:ascii="华文楷体" w:hAnsi="华文楷体" w:eastAsia="华文楷体"/>
                <w:b/>
                <w:sz w:val="24"/>
                <w:u w:val="single"/>
              </w:rPr>
              <w:t xml:space="preserve">  </w:t>
            </w:r>
            <w:r>
              <w:rPr>
                <w:rFonts w:hint="eastAsia" w:ascii="华文楷体" w:hAnsi="华文楷体" w:eastAsia="华文楷体"/>
                <w:b/>
                <w:sz w:val="24"/>
                <w:u w:val="single"/>
              </w:rPr>
              <w:t xml:space="preserve"> </w:t>
            </w:r>
            <w:r>
              <w:rPr>
                <w:rFonts w:hint="eastAsia" w:ascii="仿宋" w:hAnsi="仿宋" w:eastAsia="仿宋" w:cs="Times New Roman"/>
                <w:sz w:val="24"/>
                <w:szCs w:val="24"/>
                <w:u w:val="single"/>
                <w:lang w:val="en-US" w:eastAsia="zh-CN"/>
              </w:rPr>
              <w:drawing>
                <wp:inline distT="0" distB="0" distL="114300" distR="114300">
                  <wp:extent cx="1004570" cy="360045"/>
                  <wp:effectExtent l="0" t="0" r="5080" b="1905"/>
                  <wp:docPr id="1" name="图片 1" descr="微信图片_2023031509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315090632"/>
                          <pic:cNvPicPr>
                            <a:picLocks noChangeAspect="1"/>
                          </pic:cNvPicPr>
                        </pic:nvPicPr>
                        <pic:blipFill>
                          <a:blip r:embed="rId5"/>
                          <a:stretch>
                            <a:fillRect/>
                          </a:stretch>
                        </pic:blipFill>
                        <pic:spPr>
                          <a:xfrm>
                            <a:off x="0" y="0"/>
                            <a:ext cx="1004570" cy="360045"/>
                          </a:xfrm>
                          <a:prstGeom prst="rect">
                            <a:avLst/>
                          </a:prstGeom>
                          <a:noFill/>
                          <a:ln>
                            <a:noFill/>
                          </a:ln>
                        </pic:spPr>
                      </pic:pic>
                    </a:graphicData>
                  </a:graphic>
                </wp:inline>
              </w:drawing>
            </w:r>
            <w:r>
              <w:rPr>
                <w:rFonts w:hint="eastAsia" w:ascii="华文楷体" w:hAnsi="华文楷体" w:eastAsia="华文楷体"/>
                <w:b/>
                <w:sz w:val="24"/>
                <w:u w:val="single"/>
              </w:rPr>
              <w:t xml:space="preserve">   </w:t>
            </w:r>
            <w:r>
              <w:rPr>
                <w:rFonts w:ascii="华文楷体" w:hAnsi="华文楷体" w:eastAsia="华文楷体"/>
                <w:b/>
                <w:sz w:val="24"/>
                <w:u w:val="single"/>
              </w:rPr>
              <w:t xml:space="preserve"> </w:t>
            </w:r>
            <w:r>
              <w:rPr>
                <w:rFonts w:ascii="华文楷体" w:hAnsi="华文楷体" w:eastAsia="华文楷体"/>
                <w:b/>
                <w:sz w:val="24"/>
              </w:rPr>
              <w:t xml:space="preserve">  </w:t>
            </w:r>
            <w:r>
              <w:rPr>
                <w:rFonts w:hint="eastAsia" w:ascii="华文楷体" w:hAnsi="华文楷体" w:eastAsia="华文楷体"/>
                <w:b/>
                <w:sz w:val="24"/>
                <w:lang w:val="en-US" w:eastAsia="zh-CN"/>
              </w:rPr>
              <w:t xml:space="preserve">                     </w:t>
            </w:r>
            <w:r>
              <w:rPr>
                <w:rFonts w:hint="eastAsia" w:ascii="仿宋" w:hAnsi="仿宋" w:eastAsia="仿宋"/>
                <w:b/>
                <w:sz w:val="24"/>
              </w:rPr>
              <w:t xml:space="preserve">日期   </w:t>
            </w:r>
            <w:r>
              <w:rPr>
                <w:rFonts w:hint="eastAsia" w:ascii="仿宋" w:hAnsi="仿宋" w:eastAsia="仿宋" w:cs="Times New Roman"/>
                <w:b/>
                <w:i/>
                <w:sz w:val="28"/>
                <w:szCs w:val="28"/>
                <w:u w:val="single"/>
                <w:lang w:val="en-US" w:eastAsia="zh-CN"/>
              </w:rPr>
              <w:t>2022-1-1</w:t>
            </w:r>
          </w:p>
        </w:tc>
      </w:tr>
    </w:tbl>
    <w:p>
      <w:pPr>
        <w:spacing w:line="360" w:lineRule="auto"/>
        <w:rPr>
          <w:rFonts w:ascii="华文楷体" w:hAnsi="华文楷体" w:eastAsia="华文楷体"/>
          <w:b/>
        </w:rPr>
      </w:pPr>
    </w:p>
    <w:sectPr>
      <w:pgSz w:w="11906" w:h="16838"/>
      <w:pgMar w:top="720" w:right="1134" w:bottom="7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MDg1Yjg4OTViNDA1OWRlY2I3MWVkNjU1ODFmNmMifQ=="/>
  </w:docVars>
  <w:rsids>
    <w:rsidRoot w:val="00F13917"/>
    <w:rsid w:val="00003494"/>
    <w:rsid w:val="0005349C"/>
    <w:rsid w:val="00055241"/>
    <w:rsid w:val="000A2783"/>
    <w:rsid w:val="000B123A"/>
    <w:rsid w:val="000F52C2"/>
    <w:rsid w:val="000F5614"/>
    <w:rsid w:val="001374F2"/>
    <w:rsid w:val="00140A1A"/>
    <w:rsid w:val="00143EB9"/>
    <w:rsid w:val="00145714"/>
    <w:rsid w:val="00154D7D"/>
    <w:rsid w:val="001600F7"/>
    <w:rsid w:val="001A3008"/>
    <w:rsid w:val="001C1DB5"/>
    <w:rsid w:val="001F3134"/>
    <w:rsid w:val="0020108F"/>
    <w:rsid w:val="00212E69"/>
    <w:rsid w:val="00233907"/>
    <w:rsid w:val="00243222"/>
    <w:rsid w:val="00257224"/>
    <w:rsid w:val="00257C81"/>
    <w:rsid w:val="002649A8"/>
    <w:rsid w:val="00272BB3"/>
    <w:rsid w:val="0027484B"/>
    <w:rsid w:val="00293A6E"/>
    <w:rsid w:val="002A4D66"/>
    <w:rsid w:val="002C3633"/>
    <w:rsid w:val="002D1285"/>
    <w:rsid w:val="002D7373"/>
    <w:rsid w:val="002F0721"/>
    <w:rsid w:val="0032790C"/>
    <w:rsid w:val="003365E0"/>
    <w:rsid w:val="0034193A"/>
    <w:rsid w:val="0036698B"/>
    <w:rsid w:val="0036726A"/>
    <w:rsid w:val="0037191F"/>
    <w:rsid w:val="0037422B"/>
    <w:rsid w:val="00381896"/>
    <w:rsid w:val="00382F6E"/>
    <w:rsid w:val="003A2337"/>
    <w:rsid w:val="003A2356"/>
    <w:rsid w:val="003B01A5"/>
    <w:rsid w:val="003B4EDF"/>
    <w:rsid w:val="003C69FA"/>
    <w:rsid w:val="003D0B59"/>
    <w:rsid w:val="003E4761"/>
    <w:rsid w:val="003E5925"/>
    <w:rsid w:val="003F144E"/>
    <w:rsid w:val="003F4811"/>
    <w:rsid w:val="003F5E69"/>
    <w:rsid w:val="003F750A"/>
    <w:rsid w:val="004017C7"/>
    <w:rsid w:val="0041207E"/>
    <w:rsid w:val="004214C7"/>
    <w:rsid w:val="00450A5E"/>
    <w:rsid w:val="00484D98"/>
    <w:rsid w:val="00490160"/>
    <w:rsid w:val="0049047F"/>
    <w:rsid w:val="00496031"/>
    <w:rsid w:val="004974EE"/>
    <w:rsid w:val="004E7131"/>
    <w:rsid w:val="005047D7"/>
    <w:rsid w:val="005301FC"/>
    <w:rsid w:val="00540162"/>
    <w:rsid w:val="00546E19"/>
    <w:rsid w:val="00553960"/>
    <w:rsid w:val="00555BE0"/>
    <w:rsid w:val="00590F70"/>
    <w:rsid w:val="005A670D"/>
    <w:rsid w:val="005C2F03"/>
    <w:rsid w:val="005F203D"/>
    <w:rsid w:val="00641D3A"/>
    <w:rsid w:val="006526CA"/>
    <w:rsid w:val="00684AB3"/>
    <w:rsid w:val="00693F84"/>
    <w:rsid w:val="00696E8A"/>
    <w:rsid w:val="006A040C"/>
    <w:rsid w:val="006F03BC"/>
    <w:rsid w:val="00701E23"/>
    <w:rsid w:val="007104E4"/>
    <w:rsid w:val="00743DD0"/>
    <w:rsid w:val="00770390"/>
    <w:rsid w:val="007755C8"/>
    <w:rsid w:val="00776B1D"/>
    <w:rsid w:val="00794656"/>
    <w:rsid w:val="007A48BA"/>
    <w:rsid w:val="007C06A0"/>
    <w:rsid w:val="007C273F"/>
    <w:rsid w:val="007C3D06"/>
    <w:rsid w:val="007D2226"/>
    <w:rsid w:val="007E0C78"/>
    <w:rsid w:val="00804919"/>
    <w:rsid w:val="008050A4"/>
    <w:rsid w:val="00810458"/>
    <w:rsid w:val="00823F83"/>
    <w:rsid w:val="00826234"/>
    <w:rsid w:val="00827DAD"/>
    <w:rsid w:val="00840F86"/>
    <w:rsid w:val="00847D89"/>
    <w:rsid w:val="00860F6A"/>
    <w:rsid w:val="008705CA"/>
    <w:rsid w:val="00874115"/>
    <w:rsid w:val="008A2A43"/>
    <w:rsid w:val="008B5A06"/>
    <w:rsid w:val="008B716F"/>
    <w:rsid w:val="008C2C4E"/>
    <w:rsid w:val="008C615E"/>
    <w:rsid w:val="008D618B"/>
    <w:rsid w:val="008E31CC"/>
    <w:rsid w:val="008E4F2A"/>
    <w:rsid w:val="00927F62"/>
    <w:rsid w:val="00956443"/>
    <w:rsid w:val="00964186"/>
    <w:rsid w:val="0096458E"/>
    <w:rsid w:val="00967450"/>
    <w:rsid w:val="00987747"/>
    <w:rsid w:val="009A076F"/>
    <w:rsid w:val="009B0D4E"/>
    <w:rsid w:val="009D31D5"/>
    <w:rsid w:val="009D5493"/>
    <w:rsid w:val="009E07F7"/>
    <w:rsid w:val="009F2A84"/>
    <w:rsid w:val="00A0033F"/>
    <w:rsid w:val="00A11D3A"/>
    <w:rsid w:val="00A1280D"/>
    <w:rsid w:val="00A23FFC"/>
    <w:rsid w:val="00A348DC"/>
    <w:rsid w:val="00A8697B"/>
    <w:rsid w:val="00A971C7"/>
    <w:rsid w:val="00AA68DC"/>
    <w:rsid w:val="00AD052F"/>
    <w:rsid w:val="00B1416C"/>
    <w:rsid w:val="00B33CD5"/>
    <w:rsid w:val="00B66F17"/>
    <w:rsid w:val="00B92AB1"/>
    <w:rsid w:val="00B97BD6"/>
    <w:rsid w:val="00BA4612"/>
    <w:rsid w:val="00BC066C"/>
    <w:rsid w:val="00BC2045"/>
    <w:rsid w:val="00BC39C2"/>
    <w:rsid w:val="00BE2EB4"/>
    <w:rsid w:val="00BE5A24"/>
    <w:rsid w:val="00BF4751"/>
    <w:rsid w:val="00BF7437"/>
    <w:rsid w:val="00C022FE"/>
    <w:rsid w:val="00C03840"/>
    <w:rsid w:val="00C05D50"/>
    <w:rsid w:val="00C458C5"/>
    <w:rsid w:val="00C47134"/>
    <w:rsid w:val="00C718B5"/>
    <w:rsid w:val="00CB10E4"/>
    <w:rsid w:val="00CB474C"/>
    <w:rsid w:val="00CB58C8"/>
    <w:rsid w:val="00CC603A"/>
    <w:rsid w:val="00CD3B52"/>
    <w:rsid w:val="00CD7384"/>
    <w:rsid w:val="00CF140B"/>
    <w:rsid w:val="00D1069F"/>
    <w:rsid w:val="00D21469"/>
    <w:rsid w:val="00D2772E"/>
    <w:rsid w:val="00D33052"/>
    <w:rsid w:val="00D41628"/>
    <w:rsid w:val="00D60CD8"/>
    <w:rsid w:val="00D61687"/>
    <w:rsid w:val="00D72F4F"/>
    <w:rsid w:val="00DA214C"/>
    <w:rsid w:val="00DE2287"/>
    <w:rsid w:val="00DE3C80"/>
    <w:rsid w:val="00E147B5"/>
    <w:rsid w:val="00E16F7A"/>
    <w:rsid w:val="00E21CAD"/>
    <w:rsid w:val="00E279D7"/>
    <w:rsid w:val="00E51C96"/>
    <w:rsid w:val="00E6268C"/>
    <w:rsid w:val="00E638F6"/>
    <w:rsid w:val="00E7552F"/>
    <w:rsid w:val="00E755B6"/>
    <w:rsid w:val="00E826B2"/>
    <w:rsid w:val="00EB1CD8"/>
    <w:rsid w:val="00EB28DF"/>
    <w:rsid w:val="00EB2FD1"/>
    <w:rsid w:val="00EB40FD"/>
    <w:rsid w:val="00ED4A74"/>
    <w:rsid w:val="00EE58A7"/>
    <w:rsid w:val="00EF53D5"/>
    <w:rsid w:val="00EF5E6E"/>
    <w:rsid w:val="00F13917"/>
    <w:rsid w:val="00F57F95"/>
    <w:rsid w:val="00F71237"/>
    <w:rsid w:val="00FC5508"/>
    <w:rsid w:val="0216062A"/>
    <w:rsid w:val="024216C7"/>
    <w:rsid w:val="02DB7879"/>
    <w:rsid w:val="04CA4768"/>
    <w:rsid w:val="05733097"/>
    <w:rsid w:val="057F6F7E"/>
    <w:rsid w:val="05F93540"/>
    <w:rsid w:val="063F51B5"/>
    <w:rsid w:val="0DFD2082"/>
    <w:rsid w:val="0E19612F"/>
    <w:rsid w:val="0F2D14DC"/>
    <w:rsid w:val="12870915"/>
    <w:rsid w:val="14BA388A"/>
    <w:rsid w:val="15E42DE7"/>
    <w:rsid w:val="18D14A3B"/>
    <w:rsid w:val="1C4C201E"/>
    <w:rsid w:val="20450B97"/>
    <w:rsid w:val="208D1A78"/>
    <w:rsid w:val="226E06E2"/>
    <w:rsid w:val="232E028B"/>
    <w:rsid w:val="24685BBC"/>
    <w:rsid w:val="24900683"/>
    <w:rsid w:val="24C179A1"/>
    <w:rsid w:val="261C21C5"/>
    <w:rsid w:val="27E57A75"/>
    <w:rsid w:val="27F313B2"/>
    <w:rsid w:val="292A4527"/>
    <w:rsid w:val="2A6F52C7"/>
    <w:rsid w:val="2BAF2973"/>
    <w:rsid w:val="2C3E27FF"/>
    <w:rsid w:val="2EEF2A9C"/>
    <w:rsid w:val="30F16131"/>
    <w:rsid w:val="35EF2342"/>
    <w:rsid w:val="37B87C95"/>
    <w:rsid w:val="384433EB"/>
    <w:rsid w:val="3C1D68B0"/>
    <w:rsid w:val="430A3A92"/>
    <w:rsid w:val="44A820CD"/>
    <w:rsid w:val="44E6660D"/>
    <w:rsid w:val="464D0B8C"/>
    <w:rsid w:val="4AAF2720"/>
    <w:rsid w:val="4C7E1432"/>
    <w:rsid w:val="4CAE5B42"/>
    <w:rsid w:val="4EAA5BE7"/>
    <w:rsid w:val="50460C6F"/>
    <w:rsid w:val="50A20DFB"/>
    <w:rsid w:val="50DE5051"/>
    <w:rsid w:val="524C2D27"/>
    <w:rsid w:val="53682E22"/>
    <w:rsid w:val="58524D95"/>
    <w:rsid w:val="58737A62"/>
    <w:rsid w:val="5B0D3097"/>
    <w:rsid w:val="6224317D"/>
    <w:rsid w:val="641353A4"/>
    <w:rsid w:val="65384168"/>
    <w:rsid w:val="677E0652"/>
    <w:rsid w:val="6ABF584A"/>
    <w:rsid w:val="6B3544A2"/>
    <w:rsid w:val="6D9C03FE"/>
    <w:rsid w:val="6F877F32"/>
    <w:rsid w:val="713D7A14"/>
    <w:rsid w:val="71CB5E6C"/>
    <w:rsid w:val="72FC2367"/>
    <w:rsid w:val="74B53EE4"/>
    <w:rsid w:val="75916855"/>
    <w:rsid w:val="75C73737"/>
    <w:rsid w:val="79D61CB6"/>
    <w:rsid w:val="7C2B39D8"/>
    <w:rsid w:val="7D956DD5"/>
    <w:rsid w:val="7DA53739"/>
    <w:rsid w:val="7E4F51C9"/>
    <w:rsid w:val="7F040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8"/>
    <w:qFormat/>
    <w:uiPriority w:val="9"/>
    <w:pPr>
      <w:keepNext/>
      <w:keepLines/>
      <w:spacing w:line="60" w:lineRule="auto"/>
      <w:jc w:val="left"/>
      <w:outlineLvl w:val="0"/>
    </w:pPr>
    <w:rPr>
      <w:rFonts w:eastAsia="仿宋"/>
      <w:bCs/>
      <w:kern w:val="44"/>
      <w:sz w:val="20"/>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22"/>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semiHidden/>
    <w:unhideWhenUsed/>
    <w:qFormat/>
    <w:uiPriority w:val="99"/>
    <w:rPr>
      <w:sz w:val="24"/>
    </w:rPr>
  </w:style>
  <w:style w:type="paragraph" w:styleId="9">
    <w:name w:val="annotation subject"/>
    <w:basedOn w:val="3"/>
    <w:next w:val="3"/>
    <w:link w:val="21"/>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6"/>
    <w:qFormat/>
    <w:uiPriority w:val="99"/>
    <w:rPr>
      <w:sz w:val="18"/>
      <w:szCs w:val="18"/>
    </w:rPr>
  </w:style>
  <w:style w:type="character" w:customStyle="1" w:styleId="16">
    <w:name w:val="页脚 Char"/>
    <w:basedOn w:val="12"/>
    <w:link w:val="5"/>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标题 1 Char"/>
    <w:basedOn w:val="12"/>
    <w:link w:val="2"/>
    <w:qFormat/>
    <w:uiPriority w:val="9"/>
    <w:rPr>
      <w:rFonts w:eastAsia="仿宋"/>
      <w:bCs/>
      <w:kern w:val="44"/>
      <w:sz w:val="20"/>
      <w:szCs w:val="44"/>
    </w:rPr>
  </w:style>
  <w:style w:type="paragraph" w:customStyle="1" w:styleId="19">
    <w:name w:val="TOC Heading"/>
    <w:basedOn w:val="2"/>
    <w:next w:val="1"/>
    <w:unhideWhenUsed/>
    <w:qFormat/>
    <w:uiPriority w:val="39"/>
    <w:pPr>
      <w:widowControl/>
      <w:spacing w:before="240" w:line="259" w:lineRule="auto"/>
      <w:outlineLvl w:val="9"/>
    </w:pPr>
    <w:rPr>
      <w:rFonts w:asciiTheme="majorHAnsi" w:hAnsiTheme="majorHAnsi" w:eastAsiaTheme="majorEastAsia" w:cstheme="majorBidi"/>
      <w:bCs w:val="0"/>
      <w:color w:val="376092" w:themeColor="accent1" w:themeShade="BF"/>
      <w:kern w:val="0"/>
      <w:sz w:val="32"/>
      <w:szCs w:val="32"/>
    </w:rPr>
  </w:style>
  <w:style w:type="character" w:customStyle="1" w:styleId="20">
    <w:name w:val="批注文字 Char"/>
    <w:basedOn w:val="12"/>
    <w:link w:val="3"/>
    <w:semiHidden/>
    <w:qFormat/>
    <w:uiPriority w:val="99"/>
  </w:style>
  <w:style w:type="character" w:customStyle="1" w:styleId="21">
    <w:name w:val="批注主题 Char"/>
    <w:basedOn w:val="20"/>
    <w:link w:val="9"/>
    <w:semiHidden/>
    <w:qFormat/>
    <w:uiPriority w:val="99"/>
    <w:rPr>
      <w:b/>
      <w:bCs/>
    </w:rPr>
  </w:style>
  <w:style w:type="character" w:customStyle="1" w:styleId="22">
    <w:name w:val="批注框文本 Char"/>
    <w:basedOn w:val="12"/>
    <w:link w:val="4"/>
    <w:semiHidden/>
    <w:qFormat/>
    <w:uiPriority w:val="99"/>
    <w:rPr>
      <w:sz w:val="18"/>
      <w:szCs w:val="18"/>
    </w:rPr>
  </w:style>
  <w:style w:type="paragraph" w:customStyle="1" w:styleId="23">
    <w:name w:val="Table Text"/>
    <w:basedOn w:val="1"/>
    <w:hidden/>
    <w:qFormat/>
    <w:uiPriority w:val="0"/>
    <w:pPr>
      <w:kinsoku w:val="0"/>
      <w:autoSpaceDE w:val="0"/>
      <w:autoSpaceDN w:val="0"/>
      <w:adjustRightInd w:val="0"/>
      <w:snapToGrid w:val="0"/>
      <w:spacing w:before="0" w:beforeAutospacing="0" w:after="0" w:afterAutospacing="0"/>
      <w:ind w:left="0" w:right="0"/>
      <w:jc w:val="left"/>
      <w:textAlignment w:val="baseline"/>
    </w:pPr>
    <w:rPr>
      <w:rFonts w:hint="eastAsia" w:ascii="宋体" w:hAnsi="宋体" w:eastAsia="宋体" w:cs="宋体"/>
      <w:snapToGrid/>
      <w:color w:val="000000"/>
      <w:kern w:val="0"/>
      <w:sz w:val="20"/>
      <w:szCs w:val="20"/>
      <w:lang w:val="en-US" w:eastAsia="zh-CN" w:bidi="ar"/>
    </w:rPr>
  </w:style>
  <w:style w:type="table" w:customStyle="1" w:styleId="24">
    <w:name w:val="Table Normal"/>
    <w:basedOn w:val="10"/>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0" w:type="dxa"/>
        <w:bottom w:w="0" w:type="dxa"/>
        <w:right w:w="0" w:type="dxa"/>
      </w:tblCellMar>
    </w:tblPr>
  </w:style>
  <w:style w:type="paragraph" w:customStyle="1" w:styleId="25">
    <w:name w:val="创1.1"/>
    <w:basedOn w:val="1"/>
    <w:qFormat/>
    <w:uiPriority w:val="0"/>
    <w:pPr>
      <w:snapToGrid w:val="0"/>
      <w:spacing w:line="360" w:lineRule="exact"/>
      <w:ind w:left="878" w:leftChars="218" w:hanging="398" w:hangingChars="166"/>
    </w:pPr>
    <w:rPr>
      <w:rFonts w:hint="eastAsia" w:ascii="宋体" w:hAnsi="宋体" w:eastAsia="宋体" w:cs="宋体"/>
      <w:sz w:val="24"/>
    </w:rPr>
  </w:style>
  <w:style w:type="paragraph" w:customStyle="1" w:styleId="26">
    <w:name w:val="创1.1.1"/>
    <w:basedOn w:val="1"/>
    <w:qFormat/>
    <w:uiPriority w:val="0"/>
    <w:pPr>
      <w:snapToGrid w:val="0"/>
      <w:spacing w:line="360" w:lineRule="exact"/>
      <w:ind w:left="1532" w:leftChars="400" w:hanging="652" w:hangingChars="272"/>
    </w:pPr>
    <w:rPr>
      <w:rFonts w:hint="eastAsia" w:ascii="宋体" w:hAnsi="宋体" w:eastAsia="宋体" w:cs="宋体"/>
      <w:sz w:val="24"/>
    </w:rPr>
  </w:style>
  <w:style w:type="paragraph" w:customStyle="1" w:styleId="27">
    <w:name w:val="创1.1.1.1"/>
    <w:basedOn w:val="1"/>
    <w:qFormat/>
    <w:uiPriority w:val="0"/>
    <w:pPr>
      <w:tabs>
        <w:tab w:val="left" w:pos="1540"/>
      </w:tabs>
      <w:snapToGrid w:val="0"/>
      <w:spacing w:line="360" w:lineRule="exact"/>
      <w:ind w:left="2401" w:leftChars="700" w:hanging="861" w:hangingChars="359"/>
    </w:pPr>
    <w:rPr>
      <w:rFonts w:hint="eastAsia" w:ascii="宋体" w:hAnsi="宋体" w:eastAsia="宋体"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2BAD-5823-4026-A155-6711859A3335}">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1816</Words>
  <Characters>1898</Characters>
  <Lines>25</Lines>
  <Paragraphs>7</Paragraphs>
  <TotalTime>0</TotalTime>
  <ScaleCrop>false</ScaleCrop>
  <LinksUpToDate>false</LinksUpToDate>
  <CharactersWithSpaces>1979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2018-06-29T06:15:00Z</dcterms:created>
  <dc:creator>医院评审办公室</dc:creator>
  <cp:lastModifiedBy>小黑</cp:lastModifiedBy>
  <cp:lastPrinted>2019-09-12T08:36:00Z</cp:lastPrinted>
  <dcterms:modified xsi:type="dcterms:W3CDTF">2023-03-23T10:46:28Z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C426ACE24C98402CB4B5858768445B96</vt:lpwstr>
  </property>
</Properties>
</file>